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949" w:rsidRPr="00466C22" w:rsidRDefault="006A6949" w:rsidP="00466C22">
      <w:pPr>
        <w:spacing w:line="240" w:lineRule="exact"/>
        <w:rPr>
          <w:rFonts w:ascii="微软雅黑" w:eastAsia="微软雅黑" w:hAnsi="微软雅黑" w:cs="宋体"/>
          <w:sz w:val="22"/>
          <w:szCs w:val="22"/>
        </w:rPr>
      </w:pPr>
    </w:p>
    <w:p w:rsidR="006A6949" w:rsidRPr="00466C22" w:rsidRDefault="0032269E" w:rsidP="00466C22">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最高人民法院_最高人民检察院关于办理袭警刑事案件适用法律若干问题的解释"/>
      <w:bookmarkEnd w:id="0"/>
      <w:r w:rsidRPr="00466C22">
        <w:rPr>
          <w:rFonts w:ascii="微软雅黑" w:eastAsia="微软雅黑" w:hAnsi="微软雅黑" w:cs="方正小标宋简体" w:hint="eastAsia"/>
          <w:b/>
          <w:color w:val="333333"/>
          <w:sz w:val="40"/>
          <w:szCs w:val="40"/>
          <w:shd w:val="clear" w:color="auto" w:fill="FFFFFF"/>
        </w:rPr>
        <w:t>最高人民法院　最高人民检察院</w:t>
      </w:r>
      <w:r w:rsidRPr="00466C22">
        <w:rPr>
          <w:rFonts w:ascii="微软雅黑" w:eastAsia="微软雅黑" w:hAnsi="微软雅黑" w:cs="方正小标宋简体" w:hint="eastAsia"/>
          <w:b/>
          <w:color w:val="333333"/>
          <w:sz w:val="40"/>
          <w:szCs w:val="40"/>
          <w:shd w:val="clear" w:color="auto" w:fill="FFFFFF"/>
        </w:rPr>
        <w:br/>
        <w:t>关于办理袭警刑事案件适用法律若干问题的解释</w:t>
      </w:r>
      <w:bookmarkStart w:id="1" w:name="_GoBack"/>
      <w:bookmarkEnd w:id="1"/>
    </w:p>
    <w:p w:rsidR="006A6949" w:rsidRDefault="006A6949" w:rsidP="0031334F">
      <w:pPr>
        <w:spacing w:line="240" w:lineRule="exact"/>
        <w:rPr>
          <w:rFonts w:ascii="微软雅黑" w:eastAsia="微软雅黑" w:hAnsi="微软雅黑" w:cs="宋体"/>
          <w:sz w:val="22"/>
          <w:szCs w:val="22"/>
        </w:rPr>
      </w:pPr>
    </w:p>
    <w:p w:rsidR="00466C22" w:rsidRDefault="00466C22" w:rsidP="0031334F">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2025-01-18</w:t>
      </w:r>
    </w:p>
    <w:p w:rsidR="00466C22" w:rsidRPr="00466C22" w:rsidRDefault="00466C22" w:rsidP="0031334F">
      <w:pPr>
        <w:spacing w:line="240" w:lineRule="exact"/>
        <w:rPr>
          <w:rFonts w:ascii="微软雅黑" w:eastAsia="微软雅黑" w:hAnsi="微软雅黑" w:cs="宋体"/>
          <w:sz w:val="22"/>
          <w:szCs w:val="22"/>
        </w:rPr>
      </w:pPr>
    </w:p>
    <w:p w:rsidR="006A6949" w:rsidRPr="000659CC" w:rsidRDefault="0032269E" w:rsidP="0031334F">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bookmarkStart w:id="2" w:name="题注"/>
      <w:bookmarkEnd w:id="2"/>
      <w:r w:rsidRPr="000659CC">
        <w:rPr>
          <w:rFonts w:ascii="微软雅黑" w:eastAsia="微软雅黑" w:hAnsi="微软雅黑" w:cs="楷体_GB2312" w:hint="eastAsia"/>
          <w:bCs/>
          <w:sz w:val="21"/>
          <w:szCs w:val="21"/>
          <w:shd w:val="clear" w:color="auto" w:fill="FFFFFF"/>
        </w:rPr>
        <w:t>（2024年11月4日最高人民法院审判委员会第1930次会议、2024年6月27日最高人民检察院第十四届检察委员会第三十二次会议通过，自2025年1月18日起施行）</w:t>
      </w:r>
    </w:p>
    <w:p w:rsidR="006A6949" w:rsidRPr="00466C22" w:rsidRDefault="006A6949" w:rsidP="0031334F">
      <w:pPr>
        <w:spacing w:line="240" w:lineRule="exact"/>
        <w:rPr>
          <w:rFonts w:ascii="微软雅黑" w:eastAsia="微软雅黑" w:hAnsi="微软雅黑" w:cs="宋体"/>
          <w:sz w:val="22"/>
          <w:szCs w:val="22"/>
        </w:rPr>
      </w:pPr>
    </w:p>
    <w:p w:rsidR="006A6949" w:rsidRPr="00466C22" w:rsidRDefault="0032269E" w:rsidP="0031334F">
      <w:pPr>
        <w:spacing w:line="240" w:lineRule="exact"/>
        <w:jc w:val="center"/>
        <w:rPr>
          <w:rFonts w:ascii="微软雅黑" w:eastAsia="微软雅黑" w:hAnsi="微软雅黑" w:cs="仿宋_GB2312"/>
          <w:sz w:val="22"/>
          <w:szCs w:val="22"/>
        </w:rPr>
      </w:pPr>
      <w:bookmarkStart w:id="3" w:name="文号"/>
      <w:bookmarkEnd w:id="3"/>
      <w:r w:rsidRPr="00466C22">
        <w:rPr>
          <w:rFonts w:ascii="微软雅黑" w:eastAsia="微软雅黑" w:hAnsi="微软雅黑" w:cs="仿宋_GB2312" w:hint="eastAsia"/>
          <w:sz w:val="22"/>
          <w:szCs w:val="22"/>
        </w:rPr>
        <w:t>高检</w:t>
      </w:r>
      <w:proofErr w:type="gramStart"/>
      <w:r w:rsidRPr="00466C22">
        <w:rPr>
          <w:rFonts w:ascii="微软雅黑" w:eastAsia="微软雅黑" w:hAnsi="微软雅黑" w:cs="仿宋_GB2312" w:hint="eastAsia"/>
          <w:sz w:val="22"/>
          <w:szCs w:val="22"/>
        </w:rPr>
        <w:t>发释字</w:t>
      </w:r>
      <w:proofErr w:type="gramEnd"/>
      <w:r w:rsidRPr="00466C22">
        <w:rPr>
          <w:rFonts w:ascii="微软雅黑" w:eastAsia="微软雅黑" w:hAnsi="微软雅黑" w:cs="仿宋_GB2312" w:hint="eastAsia"/>
          <w:sz w:val="22"/>
          <w:szCs w:val="22"/>
        </w:rPr>
        <w:t>〔2025〕1号</w:t>
      </w:r>
    </w:p>
    <w:p w:rsidR="006A6949" w:rsidRPr="000659CC" w:rsidRDefault="006A6949" w:rsidP="0031334F">
      <w:pPr>
        <w:spacing w:line="240" w:lineRule="exact"/>
        <w:rPr>
          <w:rFonts w:ascii="微软雅黑" w:eastAsia="微软雅黑" w:hAnsi="微软雅黑" w:cs="宋体"/>
          <w:sz w:val="22"/>
          <w:szCs w:val="22"/>
        </w:rPr>
      </w:pP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为依法惩治袭警犯罪，保障人民警察依法执行职务，保护人民警察人身安全，维护国家法律权威和社会秩序，根据《中华人民共和国刑法》、《中华人民共和国刑事诉讼法》和《中华人民共和国人民警察法》等法律规定，现就办理此类刑事案件适用法律的若干问题解释如下：</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4" w:name="第一条"/>
      <w:bookmarkEnd w:id="4"/>
      <w:r w:rsidRPr="000659CC">
        <w:rPr>
          <w:rFonts w:ascii="微软雅黑" w:eastAsia="微软雅黑" w:hAnsi="微软雅黑" w:cs="黑体" w:hint="eastAsia"/>
          <w:b/>
          <w:sz w:val="22"/>
          <w:szCs w:val="22"/>
        </w:rPr>
        <w:t>第一条</w:t>
      </w:r>
      <w:r w:rsidRPr="000659CC">
        <w:rPr>
          <w:rFonts w:ascii="微软雅黑" w:eastAsia="微软雅黑" w:hAnsi="微软雅黑" w:cs="仿宋_GB2312" w:hint="eastAsia"/>
          <w:sz w:val="22"/>
          <w:szCs w:val="22"/>
        </w:rPr>
        <w:t xml:space="preserve">　袭击正在依法执行职务的人民警察，具有下列情形之一的，应当认定为刑法第二百七十七条第五款规定的“暴力袭击”：</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（一）实施撕咬、掌</w:t>
      </w:r>
      <w:proofErr w:type="gramStart"/>
      <w:r w:rsidRPr="000659CC">
        <w:rPr>
          <w:rFonts w:ascii="微软雅黑" w:eastAsia="微软雅黑" w:hAnsi="微软雅黑" w:cs="仿宋_GB2312" w:hint="eastAsia"/>
          <w:sz w:val="22"/>
          <w:szCs w:val="22"/>
        </w:rPr>
        <w:t>掴</w:t>
      </w:r>
      <w:proofErr w:type="gramEnd"/>
      <w:r w:rsidRPr="000659CC">
        <w:rPr>
          <w:rFonts w:ascii="微软雅黑" w:eastAsia="微软雅黑" w:hAnsi="微软雅黑" w:cs="仿宋_GB2312" w:hint="eastAsia"/>
          <w:sz w:val="22"/>
          <w:szCs w:val="22"/>
        </w:rPr>
        <w:t>、踢打、抱摔、投掷物品等行为，造成轻微</w:t>
      </w:r>
      <w:proofErr w:type="gramStart"/>
      <w:r w:rsidRPr="000659CC">
        <w:rPr>
          <w:rFonts w:ascii="微软雅黑" w:eastAsia="微软雅黑" w:hAnsi="微软雅黑" w:cs="仿宋_GB2312" w:hint="eastAsia"/>
          <w:sz w:val="22"/>
          <w:szCs w:val="22"/>
        </w:rPr>
        <w:t>伤以上</w:t>
      </w:r>
      <w:proofErr w:type="gramEnd"/>
      <w:r w:rsidRPr="000659CC">
        <w:rPr>
          <w:rFonts w:ascii="微软雅黑" w:eastAsia="微软雅黑" w:hAnsi="微软雅黑" w:cs="仿宋_GB2312" w:hint="eastAsia"/>
          <w:sz w:val="22"/>
          <w:szCs w:val="22"/>
        </w:rPr>
        <w:t>后果的；</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（二）实施打砸、毁坏、抢夺人民警察乘坐的车辆、使用的警械等行为，足以危及人身安全的。</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与人民警察发生轻微肢体冲突，或者为摆脱抓捕、约束实施甩手、挣脱、蹬腿等一般性抗拒行为，危害不大的，或者仅实施辱骂、讽刺等言语攻击行为的，不属于刑法第二百七十七条第五款规定的“暴力袭击”。</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5" w:name="第二条"/>
      <w:bookmarkEnd w:id="5"/>
      <w:r w:rsidRPr="000659CC">
        <w:rPr>
          <w:rFonts w:ascii="微软雅黑" w:eastAsia="微软雅黑" w:hAnsi="微软雅黑" w:cs="黑体" w:hint="eastAsia"/>
          <w:b/>
          <w:sz w:val="22"/>
          <w:szCs w:val="22"/>
        </w:rPr>
        <w:t>第二条</w:t>
      </w:r>
      <w:r w:rsidRPr="000659CC">
        <w:rPr>
          <w:rFonts w:ascii="微软雅黑" w:eastAsia="微软雅黑" w:hAnsi="微软雅黑" w:cs="仿宋_GB2312" w:hint="eastAsia"/>
          <w:sz w:val="22"/>
          <w:szCs w:val="22"/>
        </w:rPr>
        <w:t xml:space="preserve">　暴力袭击正在依法执行职务的人民警察，具有下列情形之一，足以致人重伤或者死亡的，应当认定为刑法第二百七十七条第五款规定的“严重危及其人身安全”：</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（一）使用枪支、管制刀具或者其他具有杀伤力的工具的；</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（二）驾驶机动车撞击人民警察或者其乘坐的车辆的；</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（三）其他严重暴力袭击行为。</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6" w:name="第三条"/>
      <w:bookmarkEnd w:id="6"/>
      <w:r w:rsidRPr="000659CC">
        <w:rPr>
          <w:rFonts w:ascii="微软雅黑" w:eastAsia="微软雅黑" w:hAnsi="微软雅黑" w:cs="黑体" w:hint="eastAsia"/>
          <w:b/>
          <w:sz w:val="22"/>
          <w:szCs w:val="22"/>
        </w:rPr>
        <w:t>第三条</w:t>
      </w:r>
      <w:r w:rsidRPr="000659CC">
        <w:rPr>
          <w:rFonts w:ascii="微软雅黑" w:eastAsia="微软雅黑" w:hAnsi="微软雅黑" w:cs="仿宋_GB2312" w:hint="eastAsia"/>
          <w:sz w:val="22"/>
          <w:szCs w:val="22"/>
        </w:rPr>
        <w:t xml:space="preserve">　实施袭警犯罪，具有下列情形之一的，从重处罚：</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（一）造成人民警察轻伤的；</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（二）致使人民警察不能正常执行职务，造成他人伤亡、犯罪嫌疑人脱逃、关键证据灭失或者公私财产重大损失等严重后果的；</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（三）纠集或者煽动多人袭警的；</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（四）袭击人民警察二人以上的；</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（五）其他情节严重的情形。</w:t>
      </w:r>
    </w:p>
    <w:p w:rsidR="00466C22" w:rsidRPr="000659CC" w:rsidRDefault="0032269E" w:rsidP="0031334F">
      <w:pPr>
        <w:spacing w:line="240" w:lineRule="exact"/>
        <w:ind w:firstLineChars="200" w:firstLine="432"/>
        <w:rPr>
          <w:rFonts w:ascii="微软雅黑" w:eastAsia="微软雅黑" w:hAnsi="微软雅黑" w:cs="仿宋_GB2312"/>
          <w:sz w:val="22"/>
          <w:szCs w:val="22"/>
        </w:rPr>
      </w:pPr>
      <w:bookmarkStart w:id="7" w:name="第四条"/>
      <w:bookmarkEnd w:id="7"/>
      <w:r w:rsidRPr="000659CC">
        <w:rPr>
          <w:rFonts w:ascii="微软雅黑" w:eastAsia="微软雅黑" w:hAnsi="微软雅黑" w:cs="黑体" w:hint="eastAsia"/>
          <w:b/>
          <w:sz w:val="22"/>
          <w:szCs w:val="22"/>
        </w:rPr>
        <w:t>第四条</w:t>
      </w:r>
      <w:r w:rsidRPr="000659CC">
        <w:rPr>
          <w:rFonts w:ascii="微软雅黑" w:eastAsia="微软雅黑" w:hAnsi="微软雅黑" w:cs="仿宋_GB2312" w:hint="eastAsia"/>
          <w:sz w:val="22"/>
          <w:szCs w:val="22"/>
        </w:rPr>
        <w:t xml:space="preserve">　对于人民警察执法活动存在过错，在认定行为人暴力袭击行为是否构成</w:t>
      </w:r>
      <w:proofErr w:type="gramStart"/>
      <w:r w:rsidRPr="000659CC">
        <w:rPr>
          <w:rFonts w:ascii="微软雅黑" w:eastAsia="微软雅黑" w:hAnsi="微软雅黑" w:cs="仿宋_GB2312" w:hint="eastAsia"/>
          <w:sz w:val="22"/>
          <w:szCs w:val="22"/>
        </w:rPr>
        <w:t>袭警罪时</w:t>
      </w:r>
      <w:proofErr w:type="gramEnd"/>
      <w:r w:rsidRPr="000659CC">
        <w:rPr>
          <w:rFonts w:ascii="微软雅黑" w:eastAsia="微软雅黑" w:hAnsi="微软雅黑" w:cs="仿宋_GB2312" w:hint="eastAsia"/>
          <w:sz w:val="22"/>
          <w:szCs w:val="22"/>
        </w:rPr>
        <w:t>，应当综合考虑行为人的暴力程度、危害后果及执法过错程度等因素，依法妥当处理。</w:t>
      </w:r>
    </w:p>
    <w:p w:rsidR="00466C22"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人民警察执法活动存在严重过错的，对行为人一般不作为犯罪处理。执法过错较大，袭击行为暴力程度较轻、危害不大的，可以不作为犯罪处理。袭击行为造成严重后果，确需追究刑事责任的，应当依法从宽处理。</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8" w:name="第五条"/>
      <w:bookmarkEnd w:id="8"/>
      <w:r w:rsidRPr="000659CC">
        <w:rPr>
          <w:rFonts w:ascii="微软雅黑" w:eastAsia="微软雅黑" w:hAnsi="微软雅黑" w:cs="黑体" w:hint="eastAsia"/>
          <w:b/>
          <w:sz w:val="22"/>
          <w:szCs w:val="22"/>
        </w:rPr>
        <w:t>第五条</w:t>
      </w:r>
      <w:r w:rsidRPr="000659CC">
        <w:rPr>
          <w:rFonts w:ascii="微软雅黑" w:eastAsia="微软雅黑" w:hAnsi="微软雅黑" w:cs="仿宋_GB2312" w:hint="eastAsia"/>
          <w:sz w:val="22"/>
          <w:szCs w:val="22"/>
        </w:rPr>
        <w:t xml:space="preserve">　醉酒的人实施袭</w:t>
      </w:r>
      <w:proofErr w:type="gramStart"/>
      <w:r w:rsidRPr="000659CC">
        <w:rPr>
          <w:rFonts w:ascii="微软雅黑" w:eastAsia="微软雅黑" w:hAnsi="微软雅黑" w:cs="仿宋_GB2312" w:hint="eastAsia"/>
          <w:sz w:val="22"/>
          <w:szCs w:val="22"/>
        </w:rPr>
        <w:t>警犯罪</w:t>
      </w:r>
      <w:proofErr w:type="gramEnd"/>
      <w:r w:rsidRPr="000659CC">
        <w:rPr>
          <w:rFonts w:ascii="微软雅黑" w:eastAsia="微软雅黑" w:hAnsi="微软雅黑" w:cs="仿宋_GB2312" w:hint="eastAsia"/>
          <w:sz w:val="22"/>
          <w:szCs w:val="22"/>
        </w:rPr>
        <w:t>的，应当负刑事责任。</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9" w:name="第六条"/>
      <w:bookmarkEnd w:id="9"/>
      <w:r w:rsidRPr="000659CC">
        <w:rPr>
          <w:rFonts w:ascii="微软雅黑" w:eastAsia="微软雅黑" w:hAnsi="微软雅黑" w:cs="黑体" w:hint="eastAsia"/>
          <w:b/>
          <w:sz w:val="22"/>
          <w:szCs w:val="22"/>
        </w:rPr>
        <w:t>第六条</w:t>
      </w:r>
      <w:r w:rsidRPr="000659CC">
        <w:rPr>
          <w:rFonts w:ascii="微软雅黑" w:eastAsia="微软雅黑" w:hAnsi="微软雅黑" w:cs="仿宋_GB2312" w:hint="eastAsia"/>
          <w:sz w:val="22"/>
          <w:szCs w:val="22"/>
        </w:rPr>
        <w:t xml:space="preserve">　教唆、煽动他人实施袭</w:t>
      </w:r>
      <w:proofErr w:type="gramStart"/>
      <w:r w:rsidRPr="000659CC">
        <w:rPr>
          <w:rFonts w:ascii="微软雅黑" w:eastAsia="微软雅黑" w:hAnsi="微软雅黑" w:cs="仿宋_GB2312" w:hint="eastAsia"/>
          <w:sz w:val="22"/>
          <w:szCs w:val="22"/>
        </w:rPr>
        <w:t>警犯罪</w:t>
      </w:r>
      <w:proofErr w:type="gramEnd"/>
      <w:r w:rsidRPr="000659CC">
        <w:rPr>
          <w:rFonts w:ascii="微软雅黑" w:eastAsia="微软雅黑" w:hAnsi="微软雅黑" w:cs="仿宋_GB2312" w:hint="eastAsia"/>
          <w:sz w:val="22"/>
          <w:szCs w:val="22"/>
        </w:rPr>
        <w:t>或者明知他人实施袭</w:t>
      </w:r>
      <w:proofErr w:type="gramStart"/>
      <w:r w:rsidRPr="000659CC">
        <w:rPr>
          <w:rFonts w:ascii="微软雅黑" w:eastAsia="微软雅黑" w:hAnsi="微软雅黑" w:cs="仿宋_GB2312" w:hint="eastAsia"/>
          <w:sz w:val="22"/>
          <w:szCs w:val="22"/>
        </w:rPr>
        <w:t>警犯罪</w:t>
      </w:r>
      <w:proofErr w:type="gramEnd"/>
      <w:r w:rsidRPr="000659CC">
        <w:rPr>
          <w:rFonts w:ascii="微软雅黑" w:eastAsia="微软雅黑" w:hAnsi="微软雅黑" w:cs="仿宋_GB2312" w:hint="eastAsia"/>
          <w:sz w:val="22"/>
          <w:szCs w:val="22"/>
        </w:rPr>
        <w:t>而提供工具或者其他帮助，情节严重的，以共同犯罪论处。</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10" w:name="第七条"/>
      <w:bookmarkEnd w:id="10"/>
      <w:r w:rsidRPr="000659CC">
        <w:rPr>
          <w:rFonts w:ascii="微软雅黑" w:eastAsia="微软雅黑" w:hAnsi="微软雅黑" w:cs="黑体" w:hint="eastAsia"/>
          <w:b/>
          <w:sz w:val="22"/>
          <w:szCs w:val="22"/>
        </w:rPr>
        <w:t>第七条</w:t>
      </w:r>
      <w:r w:rsidRPr="000659CC">
        <w:rPr>
          <w:rFonts w:ascii="微软雅黑" w:eastAsia="微软雅黑" w:hAnsi="微软雅黑" w:cs="仿宋_GB2312" w:hint="eastAsia"/>
          <w:sz w:val="22"/>
          <w:szCs w:val="22"/>
        </w:rPr>
        <w:t xml:space="preserve">　行为人阻碍人民警察依法执行职务，但未实施暴力袭击行为的，不构成袭警罪；符合刑法第二百七十七条第一款规定的，以妨害公务罪定罪处罚。</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对在非工作时间遇有紧急情况依法履行职责的人民警察实施暴力袭击，符合刑法第二百七十七条第五款规定的，以</w:t>
      </w:r>
      <w:proofErr w:type="gramStart"/>
      <w:r w:rsidRPr="000659CC">
        <w:rPr>
          <w:rFonts w:ascii="微软雅黑" w:eastAsia="微软雅黑" w:hAnsi="微软雅黑" w:cs="仿宋_GB2312" w:hint="eastAsia"/>
          <w:sz w:val="22"/>
          <w:szCs w:val="22"/>
        </w:rPr>
        <w:t>袭警罪定罪</w:t>
      </w:r>
      <w:proofErr w:type="gramEnd"/>
      <w:r w:rsidRPr="000659CC">
        <w:rPr>
          <w:rFonts w:ascii="微软雅黑" w:eastAsia="微软雅黑" w:hAnsi="微软雅黑" w:cs="仿宋_GB2312" w:hint="eastAsia"/>
          <w:sz w:val="22"/>
          <w:szCs w:val="22"/>
        </w:rPr>
        <w:t>处罚。</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对非执行职务的人民警察实施报复性暴力袭击的，不构成袭警罪；符合刑法第二百三十四条、第二百三十二条等规定的，依照相应犯罪从重处罚。</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11" w:name="第八条"/>
      <w:bookmarkEnd w:id="11"/>
      <w:r w:rsidRPr="000659CC">
        <w:rPr>
          <w:rFonts w:ascii="微软雅黑" w:eastAsia="微软雅黑" w:hAnsi="微软雅黑" w:cs="黑体" w:hint="eastAsia"/>
          <w:b/>
          <w:sz w:val="22"/>
          <w:szCs w:val="22"/>
        </w:rPr>
        <w:t>第八条</w:t>
      </w:r>
      <w:r w:rsidRPr="000659CC">
        <w:rPr>
          <w:rFonts w:ascii="微软雅黑" w:eastAsia="微软雅黑" w:hAnsi="微软雅黑" w:cs="仿宋_GB2312" w:hint="eastAsia"/>
          <w:sz w:val="22"/>
          <w:szCs w:val="22"/>
        </w:rPr>
        <w:t xml:space="preserve">　暴力袭击正在依法配合人民警察执行职务的警务辅助人员的，不构成袭警罪；符合刑法第二百七十七条第一款规定的，以妨害公务罪定罪处罚。</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r w:rsidRPr="000659CC">
        <w:rPr>
          <w:rFonts w:ascii="微软雅黑" w:eastAsia="微软雅黑" w:hAnsi="微软雅黑" w:cs="仿宋_GB2312" w:hint="eastAsia"/>
          <w:sz w:val="22"/>
          <w:szCs w:val="22"/>
        </w:rPr>
        <w:t>同时暴力袭击正在依法执行职务的人民警察和配合人民警察执行职务的警务辅助人员，符合刑法第二百七十七条第五款规定的，以</w:t>
      </w:r>
      <w:proofErr w:type="gramStart"/>
      <w:r w:rsidRPr="000659CC">
        <w:rPr>
          <w:rFonts w:ascii="微软雅黑" w:eastAsia="微软雅黑" w:hAnsi="微软雅黑" w:cs="仿宋_GB2312" w:hint="eastAsia"/>
          <w:sz w:val="22"/>
          <w:szCs w:val="22"/>
        </w:rPr>
        <w:t>袭警罪从重</w:t>
      </w:r>
      <w:proofErr w:type="gramEnd"/>
      <w:r w:rsidRPr="000659CC">
        <w:rPr>
          <w:rFonts w:ascii="微软雅黑" w:eastAsia="微软雅黑" w:hAnsi="微软雅黑" w:cs="仿宋_GB2312" w:hint="eastAsia"/>
          <w:sz w:val="22"/>
          <w:szCs w:val="22"/>
        </w:rPr>
        <w:t>处罚。</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12" w:name="第九条"/>
      <w:bookmarkEnd w:id="12"/>
      <w:r w:rsidRPr="000659CC">
        <w:rPr>
          <w:rFonts w:ascii="微软雅黑" w:eastAsia="微软雅黑" w:hAnsi="微软雅黑" w:cs="黑体" w:hint="eastAsia"/>
          <w:b/>
          <w:sz w:val="22"/>
          <w:szCs w:val="22"/>
        </w:rPr>
        <w:t>第九条</w:t>
      </w:r>
      <w:r w:rsidRPr="000659CC">
        <w:rPr>
          <w:rFonts w:ascii="微软雅黑" w:eastAsia="微软雅黑" w:hAnsi="微软雅黑" w:cs="仿宋_GB2312" w:hint="eastAsia"/>
          <w:sz w:val="22"/>
          <w:szCs w:val="22"/>
        </w:rPr>
        <w:t xml:space="preserve">　实施本解释规定的行为，同时构成袭警罪、妨害公务罪和故意杀人罪、故意伤害罪等犯罪的，依照处罚较重的规定定罪处罚。</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13" w:name="第十条"/>
      <w:bookmarkEnd w:id="13"/>
      <w:r w:rsidRPr="000659CC">
        <w:rPr>
          <w:rFonts w:ascii="微软雅黑" w:eastAsia="微软雅黑" w:hAnsi="微软雅黑" w:cs="黑体" w:hint="eastAsia"/>
          <w:b/>
          <w:sz w:val="22"/>
          <w:szCs w:val="22"/>
        </w:rPr>
        <w:t>第十条</w:t>
      </w:r>
      <w:r w:rsidRPr="000659CC">
        <w:rPr>
          <w:rFonts w:ascii="微软雅黑" w:eastAsia="微软雅黑" w:hAnsi="微软雅黑" w:cs="仿宋_GB2312" w:hint="eastAsia"/>
          <w:sz w:val="22"/>
          <w:szCs w:val="22"/>
        </w:rPr>
        <w:t xml:space="preserve">　实施本解释规定的行为，综合考虑行为人认罪悔罪表现、赔偿损失情况、行为手段、危害后果等情形，认为犯罪情节较轻的，可以从宽处罚；犯罪情节轻微的，可以不起诉或者免予刑事处罚；情节显著轻微危害不大的，不作为犯罪处理。</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14" w:name="第十一条"/>
      <w:bookmarkEnd w:id="14"/>
      <w:r w:rsidRPr="000659CC">
        <w:rPr>
          <w:rFonts w:ascii="微软雅黑" w:eastAsia="微软雅黑" w:hAnsi="微软雅黑" w:cs="黑体" w:hint="eastAsia"/>
          <w:b/>
          <w:sz w:val="22"/>
          <w:szCs w:val="22"/>
        </w:rPr>
        <w:t>第十一条</w:t>
      </w:r>
      <w:r w:rsidRPr="000659CC">
        <w:rPr>
          <w:rFonts w:ascii="微软雅黑" w:eastAsia="微软雅黑" w:hAnsi="微软雅黑" w:cs="仿宋_GB2312" w:hint="eastAsia"/>
          <w:sz w:val="22"/>
          <w:szCs w:val="22"/>
        </w:rPr>
        <w:t xml:space="preserve">　对于实施本解释规定的相关行为被不起诉或者免予刑事处罚的行为人，需要给予行政处罚、政务处分或者其他处分的，依法移送有关主管机关处理。</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15" w:name="第十二条"/>
      <w:bookmarkEnd w:id="15"/>
      <w:r w:rsidRPr="000659CC">
        <w:rPr>
          <w:rFonts w:ascii="微软雅黑" w:eastAsia="微软雅黑" w:hAnsi="微软雅黑" w:cs="黑体" w:hint="eastAsia"/>
          <w:b/>
          <w:sz w:val="22"/>
          <w:szCs w:val="22"/>
        </w:rPr>
        <w:t>第十二条</w:t>
      </w:r>
      <w:r w:rsidRPr="000659CC">
        <w:rPr>
          <w:rFonts w:ascii="微软雅黑" w:eastAsia="微软雅黑" w:hAnsi="微软雅黑" w:cs="仿宋_GB2312" w:hint="eastAsia"/>
          <w:sz w:val="22"/>
          <w:szCs w:val="22"/>
        </w:rPr>
        <w:t xml:space="preserve">　对于刑法第二百七十七条第五款规定的“人民警察”，依照人民警察法的相关规定认定，包括公安机关、国家安全机关、监狱等部门的人民警察和人民法院、人民检察院的司法警察。</w:t>
      </w:r>
    </w:p>
    <w:p w:rsidR="006A6949" w:rsidRPr="000659CC" w:rsidRDefault="0032269E" w:rsidP="0031334F">
      <w:pPr>
        <w:spacing w:line="240" w:lineRule="exact"/>
        <w:ind w:firstLineChars="200" w:firstLine="432"/>
        <w:rPr>
          <w:rFonts w:ascii="微软雅黑" w:eastAsia="微软雅黑" w:hAnsi="微软雅黑" w:cs="仿宋_GB2312"/>
          <w:sz w:val="22"/>
          <w:szCs w:val="22"/>
        </w:rPr>
      </w:pPr>
      <w:bookmarkStart w:id="16" w:name="第十三条"/>
      <w:bookmarkEnd w:id="16"/>
      <w:r w:rsidRPr="000659CC">
        <w:rPr>
          <w:rFonts w:ascii="微软雅黑" w:eastAsia="微软雅黑" w:hAnsi="微软雅黑" w:cs="黑体" w:hint="eastAsia"/>
          <w:b/>
          <w:sz w:val="22"/>
          <w:szCs w:val="22"/>
        </w:rPr>
        <w:t>第十三条</w:t>
      </w:r>
      <w:r w:rsidRPr="000659CC">
        <w:rPr>
          <w:rFonts w:ascii="微软雅黑" w:eastAsia="微软雅黑" w:hAnsi="微软雅黑" w:cs="仿宋_GB2312" w:hint="eastAsia"/>
          <w:sz w:val="22"/>
          <w:szCs w:val="22"/>
        </w:rPr>
        <w:t xml:space="preserve">　本</w:t>
      </w:r>
      <w:proofErr w:type="gramStart"/>
      <w:r w:rsidRPr="000659CC">
        <w:rPr>
          <w:rFonts w:ascii="微软雅黑" w:eastAsia="微软雅黑" w:hAnsi="微软雅黑" w:cs="仿宋_GB2312" w:hint="eastAsia"/>
          <w:sz w:val="22"/>
          <w:szCs w:val="22"/>
        </w:rPr>
        <w:t>解释自</w:t>
      </w:r>
      <w:proofErr w:type="gramEnd"/>
      <w:r w:rsidRPr="000659CC">
        <w:rPr>
          <w:rFonts w:ascii="微软雅黑" w:eastAsia="微软雅黑" w:hAnsi="微软雅黑" w:cs="仿宋_GB2312" w:hint="eastAsia"/>
          <w:sz w:val="22"/>
          <w:szCs w:val="22"/>
        </w:rPr>
        <w:t>2025年1月18日起施行。本解释施行后，之前发布的规范性文件与本解释不一致的，以本解释为准。</w:t>
      </w:r>
    </w:p>
    <w:sectPr w:rsidR="006A6949" w:rsidRPr="000659CC" w:rsidSect="00E02B73">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95E" w:rsidRDefault="0018495E" w:rsidP="006A6949">
      <w:r>
        <w:separator/>
      </w:r>
    </w:p>
  </w:endnote>
  <w:endnote w:type="continuationSeparator" w:id="0">
    <w:p w:rsidR="0018495E" w:rsidRDefault="0018495E" w:rsidP="006A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49" w:rsidRDefault="0032269E">
    <w:pPr>
      <w:pStyle w:val="a4"/>
      <w:rPr>
        <w:rFonts w:ascii="宋体" w:eastAsia="宋体" w:hAnsi="宋体"/>
        <w:sz w:val="28"/>
        <w:szCs w:val="28"/>
      </w:rPr>
    </w:pPr>
    <w:r>
      <w:rPr>
        <w:rFonts w:ascii="宋体" w:eastAsia="宋体" w:hAnsi="宋体" w:hint="eastAsia"/>
        <w:sz w:val="28"/>
        <w:szCs w:val="28"/>
      </w:rPr>
      <w:t xml:space="preserve">　－</w:t>
    </w:r>
    <w:r w:rsidR="006A6949">
      <w:rPr>
        <w:rFonts w:ascii="宋体" w:eastAsia="宋体" w:hAnsi="宋体"/>
        <w:sz w:val="28"/>
        <w:szCs w:val="28"/>
      </w:rPr>
      <w:fldChar w:fldCharType="begin"/>
    </w:r>
    <w:r>
      <w:rPr>
        <w:rFonts w:ascii="宋体" w:eastAsia="宋体" w:hAnsi="宋体"/>
        <w:sz w:val="28"/>
        <w:szCs w:val="28"/>
      </w:rPr>
      <w:instrText>PAGE   \* MERGEFORMAT</w:instrText>
    </w:r>
    <w:r w:rsidR="006A6949">
      <w:rPr>
        <w:rFonts w:ascii="宋体" w:eastAsia="宋体" w:hAnsi="宋体"/>
        <w:sz w:val="28"/>
        <w:szCs w:val="28"/>
      </w:rPr>
      <w:fldChar w:fldCharType="separate"/>
    </w:r>
    <w:r w:rsidR="00E02B73" w:rsidRPr="00E02B73">
      <w:rPr>
        <w:rFonts w:ascii="宋体" w:eastAsia="宋体" w:hAnsi="宋体"/>
        <w:noProof/>
        <w:sz w:val="28"/>
        <w:szCs w:val="28"/>
        <w:lang w:val="zh-CN"/>
      </w:rPr>
      <w:t>2</w:t>
    </w:r>
    <w:r w:rsidR="006A6949">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49" w:rsidRDefault="0032269E">
    <w:pPr>
      <w:pStyle w:val="a4"/>
      <w:wordWrap w:val="0"/>
      <w:jc w:val="right"/>
      <w:rPr>
        <w:rFonts w:eastAsia="宋体"/>
      </w:rPr>
    </w:pPr>
    <w:r>
      <w:rPr>
        <w:rFonts w:ascii="宋体" w:eastAsia="宋体" w:hAnsi="宋体" w:hint="eastAsia"/>
        <w:sz w:val="28"/>
        <w:szCs w:val="28"/>
      </w:rPr>
      <w:t>－</w:t>
    </w:r>
    <w:r w:rsidR="006A6949">
      <w:rPr>
        <w:rFonts w:ascii="宋体" w:eastAsia="宋体" w:hAnsi="宋体"/>
        <w:sz w:val="28"/>
        <w:szCs w:val="28"/>
      </w:rPr>
      <w:fldChar w:fldCharType="begin"/>
    </w:r>
    <w:r>
      <w:rPr>
        <w:rFonts w:ascii="宋体" w:eastAsia="宋体" w:hAnsi="宋体"/>
        <w:sz w:val="28"/>
        <w:szCs w:val="28"/>
      </w:rPr>
      <w:instrText>PAGE   \* MERGEFORMAT</w:instrText>
    </w:r>
    <w:r w:rsidR="006A6949">
      <w:rPr>
        <w:rFonts w:ascii="宋体" w:eastAsia="宋体" w:hAnsi="宋体"/>
        <w:sz w:val="28"/>
        <w:szCs w:val="28"/>
      </w:rPr>
      <w:fldChar w:fldCharType="separate"/>
    </w:r>
    <w:r w:rsidR="00E02B73" w:rsidRPr="00E02B73">
      <w:rPr>
        <w:rFonts w:ascii="宋体" w:eastAsia="宋体" w:hAnsi="宋体"/>
        <w:noProof/>
        <w:sz w:val="28"/>
        <w:szCs w:val="28"/>
        <w:lang w:val="zh-CN"/>
      </w:rPr>
      <w:t>2</w:t>
    </w:r>
    <w:r w:rsidR="006A6949">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95E" w:rsidRDefault="0018495E" w:rsidP="006A6949">
      <w:r>
        <w:separator/>
      </w:r>
    </w:p>
  </w:footnote>
  <w:footnote w:type="continuationSeparator" w:id="0">
    <w:p w:rsidR="0018495E" w:rsidRDefault="0018495E" w:rsidP="006A6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g2OWQ1NmU4NmVlMDEyOWJlNDZmYWZmNzYxYTM0MDMifQ=="/>
  </w:docVars>
  <w:rsids>
    <w:rsidRoot w:val="000E703F"/>
    <w:rsid w:val="00005CBA"/>
    <w:rsid w:val="000659CC"/>
    <w:rsid w:val="00067A46"/>
    <w:rsid w:val="000B3473"/>
    <w:rsid w:val="000D062B"/>
    <w:rsid w:val="000E703F"/>
    <w:rsid w:val="000F0A3D"/>
    <w:rsid w:val="000F7DA8"/>
    <w:rsid w:val="00131BA9"/>
    <w:rsid w:val="0013352A"/>
    <w:rsid w:val="0016100C"/>
    <w:rsid w:val="00166DBD"/>
    <w:rsid w:val="0018495E"/>
    <w:rsid w:val="00194C5F"/>
    <w:rsid w:val="001D56C5"/>
    <w:rsid w:val="001E2980"/>
    <w:rsid w:val="00226845"/>
    <w:rsid w:val="002434D9"/>
    <w:rsid w:val="002447F6"/>
    <w:rsid w:val="00247B39"/>
    <w:rsid w:val="002607B9"/>
    <w:rsid w:val="00265F71"/>
    <w:rsid w:val="002E3D11"/>
    <w:rsid w:val="002F77E5"/>
    <w:rsid w:val="00307CD3"/>
    <w:rsid w:val="0031334F"/>
    <w:rsid w:val="00315BE5"/>
    <w:rsid w:val="0032269E"/>
    <w:rsid w:val="003460A0"/>
    <w:rsid w:val="00353AD7"/>
    <w:rsid w:val="003A0332"/>
    <w:rsid w:val="003F636B"/>
    <w:rsid w:val="00420DB2"/>
    <w:rsid w:val="0044207F"/>
    <w:rsid w:val="00466C22"/>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A6949"/>
    <w:rsid w:val="006B2EDC"/>
    <w:rsid w:val="006C7885"/>
    <w:rsid w:val="006D3381"/>
    <w:rsid w:val="006E600C"/>
    <w:rsid w:val="00785C4E"/>
    <w:rsid w:val="007A6644"/>
    <w:rsid w:val="0082159D"/>
    <w:rsid w:val="00834B22"/>
    <w:rsid w:val="008351B6"/>
    <w:rsid w:val="008503CF"/>
    <w:rsid w:val="00867A37"/>
    <w:rsid w:val="0089782E"/>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02B73"/>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47F4E29"/>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536AF"/>
  <w15:docId w15:val="{F1AD3CFF-622D-4DC5-9D51-04D20343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949"/>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6A6949"/>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A6949"/>
    <w:rPr>
      <w:rFonts w:ascii="宋体" w:hAnsi="Courier New" w:cs="Courier New"/>
      <w:szCs w:val="21"/>
    </w:rPr>
  </w:style>
  <w:style w:type="paragraph" w:styleId="a4">
    <w:name w:val="footer"/>
    <w:basedOn w:val="a"/>
    <w:link w:val="a5"/>
    <w:uiPriority w:val="99"/>
    <w:unhideWhenUsed/>
    <w:qFormat/>
    <w:rsid w:val="006A6949"/>
    <w:pPr>
      <w:tabs>
        <w:tab w:val="center" w:pos="4153"/>
        <w:tab w:val="right" w:pos="8306"/>
      </w:tabs>
      <w:snapToGrid w:val="0"/>
      <w:jc w:val="left"/>
    </w:pPr>
    <w:rPr>
      <w:sz w:val="18"/>
      <w:szCs w:val="18"/>
    </w:rPr>
  </w:style>
  <w:style w:type="paragraph" w:styleId="a6">
    <w:name w:val="header"/>
    <w:basedOn w:val="a"/>
    <w:link w:val="a7"/>
    <w:uiPriority w:val="99"/>
    <w:unhideWhenUsed/>
    <w:qFormat/>
    <w:rsid w:val="006A6949"/>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sid w:val="006A6949"/>
    <w:rPr>
      <w:color w:val="954F72"/>
      <w:u w:val="single"/>
    </w:rPr>
  </w:style>
  <w:style w:type="character" w:styleId="a9">
    <w:name w:val="Hyperlink"/>
    <w:uiPriority w:val="99"/>
    <w:qFormat/>
    <w:rsid w:val="006A6949"/>
    <w:rPr>
      <w:rFonts w:ascii="ˎ̥" w:hAnsi="ˎ̥" w:hint="default"/>
      <w:color w:val="0404B3"/>
      <w:sz w:val="18"/>
      <w:szCs w:val="18"/>
      <w:u w:val="none"/>
    </w:rPr>
  </w:style>
  <w:style w:type="character" w:customStyle="1" w:styleId="a5">
    <w:name w:val="页脚 字符"/>
    <w:link w:val="a4"/>
    <w:uiPriority w:val="99"/>
    <w:qFormat/>
    <w:rsid w:val="006A6949"/>
    <w:rPr>
      <w:sz w:val="18"/>
      <w:szCs w:val="18"/>
    </w:rPr>
  </w:style>
  <w:style w:type="character" w:customStyle="1" w:styleId="a7">
    <w:name w:val="页眉 字符"/>
    <w:link w:val="a6"/>
    <w:uiPriority w:val="99"/>
    <w:qFormat/>
    <w:rsid w:val="006A69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261</Words>
  <Characters>1494</Characters>
  <Application>Microsoft Office Word</Application>
  <DocSecurity>0</DocSecurity>
  <Lines>12</Lines>
  <Paragraphs>3</Paragraphs>
  <ScaleCrop>false</ScaleCrop>
  <Company>Microsoft</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cp:lastPrinted>2024-07-19T01:09:00Z</cp:lastPrinted>
  <dcterms:created xsi:type="dcterms:W3CDTF">2017-11-15T02:33:00Z</dcterms:created>
  <dcterms:modified xsi:type="dcterms:W3CDTF">2025-08-22T04:36:00Z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26B9DCD4B3D3473F834B021AF017A18A_13</vt:lpwstr>
  </property>
  <property fmtid="{D5CDD505-2E9C-101B-9397-08002B2CF9AE}" pid="3" name="KSOProductBuildVer">
    <vt:lpwstr>2052-12.1.0.20305</vt:lpwstr>
  </property>
  <property fmtid="{D5CDD505-2E9C-101B-9397-08002B2CF9AE}" pid="4" name="KSOTemplateDocerSaveRecord">
    <vt:lpwstr>eyJoZGlkIjoiODM0YzQzMGFjMjUzMGYwODMwZjhmZTEzMTA0N2U0NTciLCJ1c2VySWQiOiIyMzkwNjQ1MjcifQ==</vt:lpwstr>
  </property>
</Properties>
</file>